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25BE8" w14:textId="77777777" w:rsidR="003077B6" w:rsidRPr="0002175F" w:rsidRDefault="003077B6" w:rsidP="003077B6">
      <w:pPr>
        <w:spacing w:before="100" w:beforeAutospacing="1"/>
        <w:jc w:val="both"/>
        <w:rPr>
          <w:rFonts w:asciiTheme="majorHAnsi" w:hAnsiTheme="majorHAnsi"/>
        </w:rPr>
      </w:pPr>
      <w:r w:rsidRPr="0002175F">
        <w:rPr>
          <w:rFonts w:asciiTheme="majorHAnsi" w:hAnsiTheme="majorHAnsi"/>
          <w:b/>
          <w:bCs/>
          <w:color w:val="000000"/>
        </w:rPr>
        <w:t>Privacy Policy</w:t>
      </w:r>
    </w:p>
    <w:p w14:paraId="59ECD535" w14:textId="77777777" w:rsidR="003077B6" w:rsidRDefault="003077B6" w:rsidP="003077B6">
      <w:pPr>
        <w:spacing w:before="100" w:beforeAutospacing="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Pr="0002175F">
        <w:rPr>
          <w:rFonts w:asciiTheme="majorHAnsi" w:hAnsiTheme="majorHAnsi"/>
        </w:rPr>
        <w:t>Liszt Ferenc Academy of Music</w:t>
      </w:r>
      <w:r>
        <w:rPr>
          <w:rFonts w:asciiTheme="majorHAnsi" w:hAnsiTheme="majorHAnsi"/>
        </w:rPr>
        <w:t xml:space="preserve"> (hereinafter: Academy) requires students to share the below information </w:t>
      </w:r>
      <w:proofErr w:type="gramStart"/>
      <w:r>
        <w:rPr>
          <w:rFonts w:asciiTheme="majorHAnsi" w:hAnsiTheme="majorHAnsi"/>
        </w:rPr>
        <w:t>in order to</w:t>
      </w:r>
      <w:proofErr w:type="gramEnd"/>
      <w:r>
        <w:rPr>
          <w:rFonts w:asciiTheme="majorHAnsi" w:hAnsiTheme="majorHAnsi"/>
        </w:rPr>
        <w:t xml:space="preserve"> make a decision about the scholarship application: </w:t>
      </w:r>
    </w:p>
    <w:p w14:paraId="6DBC2AE4" w14:textId="77777777" w:rsidR="003077B6" w:rsidRDefault="003077B6" w:rsidP="003077B6">
      <w:pPr>
        <w:numPr>
          <w:ilvl w:val="0"/>
          <w:numId w:val="1"/>
        </w:numPr>
        <w:spacing w:before="100" w:beforeAutospacing="1"/>
        <w:rPr>
          <w:rFonts w:asciiTheme="majorHAnsi" w:eastAsia="Times New Roman" w:hAnsiTheme="majorHAnsi"/>
          <w:color w:val="000000"/>
        </w:rPr>
      </w:pPr>
      <w:commentRangeStart w:id="0"/>
      <w:r>
        <w:rPr>
          <w:rFonts w:asciiTheme="majorHAnsi" w:eastAsia="Times New Roman" w:hAnsiTheme="majorHAnsi"/>
          <w:color w:val="000000"/>
        </w:rPr>
        <w:t xml:space="preserve">full </w:t>
      </w:r>
      <w:proofErr w:type="gramStart"/>
      <w:r w:rsidRPr="004939C8">
        <w:rPr>
          <w:rFonts w:asciiTheme="majorHAnsi" w:eastAsia="Times New Roman" w:hAnsiTheme="majorHAnsi"/>
          <w:color w:val="000000"/>
        </w:rPr>
        <w:t>name</w:t>
      </w:r>
      <w:r>
        <w:rPr>
          <w:rFonts w:asciiTheme="majorHAnsi" w:eastAsia="Times New Roman" w:hAnsiTheme="majorHAnsi"/>
          <w:color w:val="000000"/>
        </w:rPr>
        <w:t>;</w:t>
      </w:r>
      <w:proofErr w:type="gramEnd"/>
    </w:p>
    <w:p w14:paraId="66C66875" w14:textId="77777777" w:rsidR="003077B6" w:rsidRDefault="003077B6" w:rsidP="003077B6">
      <w:pPr>
        <w:numPr>
          <w:ilvl w:val="0"/>
          <w:numId w:val="1"/>
        </w:numPr>
        <w:spacing w:before="100" w:beforeAutospacing="1"/>
        <w:rPr>
          <w:rFonts w:asciiTheme="majorHAnsi" w:eastAsia="Times New Roman" w:hAnsiTheme="majorHAnsi"/>
          <w:color w:val="000000"/>
        </w:rPr>
      </w:pPr>
      <w:r>
        <w:rPr>
          <w:rFonts w:asciiTheme="majorHAnsi" w:eastAsia="Times New Roman" w:hAnsiTheme="majorHAnsi"/>
          <w:color w:val="000000"/>
        </w:rPr>
        <w:t xml:space="preserve">main </w:t>
      </w:r>
      <w:proofErr w:type="gramStart"/>
      <w:r>
        <w:rPr>
          <w:rFonts w:asciiTheme="majorHAnsi" w:eastAsia="Times New Roman" w:hAnsiTheme="majorHAnsi"/>
          <w:color w:val="000000"/>
        </w:rPr>
        <w:t>subject;</w:t>
      </w:r>
      <w:proofErr w:type="gramEnd"/>
    </w:p>
    <w:p w14:paraId="64A2459D" w14:textId="77777777" w:rsidR="003077B6" w:rsidRDefault="003077B6" w:rsidP="003077B6">
      <w:pPr>
        <w:numPr>
          <w:ilvl w:val="0"/>
          <w:numId w:val="1"/>
        </w:numPr>
        <w:spacing w:before="100" w:beforeAutospacing="1"/>
        <w:rPr>
          <w:rFonts w:asciiTheme="majorHAnsi" w:eastAsia="Times New Roman" w:hAnsiTheme="majorHAnsi"/>
          <w:color w:val="000000"/>
        </w:rPr>
      </w:pPr>
      <w:r>
        <w:rPr>
          <w:rFonts w:asciiTheme="majorHAnsi" w:eastAsia="Times New Roman" w:hAnsiTheme="majorHAnsi"/>
          <w:color w:val="000000"/>
        </w:rPr>
        <w:t>program (</w:t>
      </w:r>
      <w:r w:rsidRPr="004705F1">
        <w:rPr>
          <w:rFonts w:asciiTheme="majorHAnsi" w:eastAsia="Times New Roman" w:hAnsiTheme="majorHAnsi"/>
          <w:color w:val="000000"/>
        </w:rPr>
        <w:t xml:space="preserve">MA, BA, TMA, </w:t>
      </w:r>
      <w:r>
        <w:rPr>
          <w:rFonts w:asciiTheme="majorHAnsi" w:eastAsia="Times New Roman" w:hAnsiTheme="majorHAnsi"/>
          <w:color w:val="000000"/>
        </w:rPr>
        <w:t>unclassified)</w:t>
      </w:r>
    </w:p>
    <w:p w14:paraId="40559491" w14:textId="77777777" w:rsidR="003077B6" w:rsidRDefault="003077B6" w:rsidP="003077B6">
      <w:pPr>
        <w:numPr>
          <w:ilvl w:val="0"/>
          <w:numId w:val="1"/>
        </w:numPr>
        <w:spacing w:before="100" w:beforeAutospacing="1"/>
        <w:rPr>
          <w:rFonts w:asciiTheme="majorHAnsi" w:eastAsia="Times New Roman" w:hAnsiTheme="majorHAnsi"/>
          <w:color w:val="000000"/>
        </w:rPr>
      </w:pPr>
      <w:proofErr w:type="gramStart"/>
      <w:r>
        <w:rPr>
          <w:rFonts w:asciiTheme="majorHAnsi" w:eastAsia="Times New Roman" w:hAnsiTheme="majorHAnsi"/>
          <w:color w:val="000000"/>
        </w:rPr>
        <w:t>year;</w:t>
      </w:r>
      <w:proofErr w:type="gramEnd"/>
    </w:p>
    <w:p w14:paraId="2E31542C" w14:textId="77777777" w:rsidR="003077B6" w:rsidRPr="004939C8" w:rsidRDefault="003077B6" w:rsidP="003077B6">
      <w:pPr>
        <w:numPr>
          <w:ilvl w:val="0"/>
          <w:numId w:val="1"/>
        </w:numPr>
        <w:spacing w:before="100" w:beforeAutospacing="1"/>
        <w:rPr>
          <w:rFonts w:asciiTheme="majorHAnsi" w:eastAsia="Times New Roman" w:hAnsiTheme="majorHAnsi"/>
          <w:color w:val="000000"/>
        </w:rPr>
      </w:pPr>
      <w:r>
        <w:rPr>
          <w:rFonts w:asciiTheme="majorHAnsi" w:eastAsia="Times New Roman" w:hAnsiTheme="majorHAnsi"/>
          <w:color w:val="000000"/>
        </w:rPr>
        <w:t>Neptun-</w:t>
      </w:r>
      <w:proofErr w:type="gramStart"/>
      <w:r>
        <w:rPr>
          <w:rFonts w:asciiTheme="majorHAnsi" w:eastAsia="Times New Roman" w:hAnsiTheme="majorHAnsi"/>
          <w:color w:val="000000"/>
        </w:rPr>
        <w:t>code;</w:t>
      </w:r>
      <w:proofErr w:type="gramEnd"/>
    </w:p>
    <w:p w14:paraId="3576D920" w14:textId="77777777" w:rsidR="003077B6" w:rsidRPr="004939C8" w:rsidRDefault="003077B6" w:rsidP="003077B6">
      <w:pPr>
        <w:numPr>
          <w:ilvl w:val="0"/>
          <w:numId w:val="1"/>
        </w:numPr>
        <w:spacing w:before="100" w:beforeAutospacing="1"/>
        <w:rPr>
          <w:rFonts w:asciiTheme="majorHAnsi" w:eastAsia="Times New Roman" w:hAnsiTheme="majorHAnsi"/>
          <w:color w:val="000000"/>
        </w:rPr>
      </w:pPr>
      <w:r w:rsidRPr="004939C8">
        <w:rPr>
          <w:rFonts w:asciiTheme="majorHAnsi" w:eastAsia="Times New Roman" w:hAnsiTheme="majorHAnsi"/>
          <w:color w:val="000000"/>
        </w:rPr>
        <w:t>nationality</w:t>
      </w:r>
    </w:p>
    <w:p w14:paraId="2B7482DC" w14:textId="77777777" w:rsidR="003077B6" w:rsidRPr="004939C8" w:rsidRDefault="003077B6" w:rsidP="003077B6">
      <w:pPr>
        <w:numPr>
          <w:ilvl w:val="0"/>
          <w:numId w:val="1"/>
        </w:numPr>
        <w:spacing w:before="100" w:beforeAutospacing="1"/>
        <w:rPr>
          <w:rFonts w:asciiTheme="majorHAnsi" w:eastAsia="Times New Roman" w:hAnsiTheme="majorHAnsi"/>
          <w:color w:val="000000"/>
        </w:rPr>
      </w:pPr>
      <w:r w:rsidRPr="004939C8">
        <w:rPr>
          <w:rFonts w:asciiTheme="majorHAnsi" w:eastAsia="Times New Roman" w:hAnsiTheme="majorHAnsi"/>
          <w:color w:val="000000"/>
        </w:rPr>
        <w:t>e-mail address</w:t>
      </w:r>
    </w:p>
    <w:p w14:paraId="2FCCEA6B" w14:textId="77777777" w:rsidR="003077B6" w:rsidRPr="004939C8" w:rsidRDefault="003077B6" w:rsidP="003077B6">
      <w:pPr>
        <w:numPr>
          <w:ilvl w:val="0"/>
          <w:numId w:val="1"/>
        </w:numPr>
        <w:spacing w:before="100" w:beforeAutospacing="1"/>
        <w:rPr>
          <w:rFonts w:asciiTheme="majorHAnsi" w:eastAsia="Times New Roman" w:hAnsiTheme="majorHAnsi"/>
          <w:color w:val="000000"/>
        </w:rPr>
      </w:pPr>
      <w:r w:rsidRPr="004939C8">
        <w:rPr>
          <w:rFonts w:asciiTheme="majorHAnsi" w:eastAsia="Times New Roman" w:hAnsiTheme="majorHAnsi"/>
          <w:color w:val="000000"/>
        </w:rPr>
        <w:t>phone number</w:t>
      </w:r>
    </w:p>
    <w:p w14:paraId="6349E30F" w14:textId="77777777" w:rsidR="003077B6" w:rsidRPr="004939C8" w:rsidRDefault="003077B6" w:rsidP="003077B6">
      <w:pPr>
        <w:numPr>
          <w:ilvl w:val="0"/>
          <w:numId w:val="1"/>
        </w:numPr>
        <w:spacing w:before="100" w:beforeAutospacing="1"/>
        <w:rPr>
          <w:rFonts w:asciiTheme="majorHAnsi" w:eastAsia="Times New Roman" w:hAnsiTheme="majorHAnsi"/>
          <w:color w:val="000000"/>
        </w:rPr>
      </w:pPr>
      <w:r w:rsidRPr="004939C8">
        <w:rPr>
          <w:rFonts w:asciiTheme="majorHAnsi" w:eastAsia="Times New Roman" w:hAnsiTheme="majorHAnsi"/>
          <w:color w:val="000000"/>
        </w:rPr>
        <w:t>level and year of study, department</w:t>
      </w:r>
    </w:p>
    <w:p w14:paraId="2498AEA3" w14:textId="77777777" w:rsidR="003077B6" w:rsidRPr="004939C8" w:rsidRDefault="003077B6" w:rsidP="003077B6">
      <w:pPr>
        <w:numPr>
          <w:ilvl w:val="0"/>
          <w:numId w:val="1"/>
        </w:numPr>
        <w:spacing w:before="100" w:beforeAutospacing="1"/>
        <w:rPr>
          <w:rFonts w:asciiTheme="majorHAnsi" w:eastAsia="Times New Roman" w:hAnsiTheme="majorHAnsi"/>
          <w:color w:val="000000"/>
        </w:rPr>
      </w:pPr>
      <w:r w:rsidRPr="004939C8">
        <w:rPr>
          <w:rFonts w:asciiTheme="majorHAnsi" w:eastAsia="Times New Roman" w:hAnsiTheme="majorHAnsi"/>
          <w:color w:val="000000"/>
        </w:rPr>
        <w:t>CV</w:t>
      </w:r>
    </w:p>
    <w:p w14:paraId="1070642E" w14:textId="77777777" w:rsidR="003077B6" w:rsidRPr="004939C8" w:rsidRDefault="003077B6" w:rsidP="003077B6">
      <w:pPr>
        <w:numPr>
          <w:ilvl w:val="0"/>
          <w:numId w:val="1"/>
        </w:numPr>
        <w:spacing w:before="100" w:beforeAutospacing="1"/>
        <w:rPr>
          <w:rFonts w:asciiTheme="majorHAnsi" w:eastAsia="Times New Roman" w:hAnsiTheme="majorHAnsi"/>
          <w:color w:val="000000"/>
        </w:rPr>
      </w:pPr>
      <w:r w:rsidRPr="004939C8">
        <w:rPr>
          <w:rFonts w:asciiTheme="majorHAnsi" w:eastAsia="Times New Roman" w:hAnsiTheme="majorHAnsi"/>
          <w:color w:val="000000"/>
        </w:rPr>
        <w:t>career plans</w:t>
      </w:r>
    </w:p>
    <w:p w14:paraId="42BFFEB2" w14:textId="77777777" w:rsidR="003077B6" w:rsidRDefault="003077B6" w:rsidP="003077B6">
      <w:pPr>
        <w:numPr>
          <w:ilvl w:val="0"/>
          <w:numId w:val="1"/>
        </w:numPr>
        <w:spacing w:before="100" w:beforeAutospacing="1"/>
        <w:rPr>
          <w:rFonts w:asciiTheme="majorHAnsi" w:eastAsia="Times New Roman" w:hAnsiTheme="majorHAnsi"/>
          <w:color w:val="000000"/>
        </w:rPr>
      </w:pPr>
      <w:r w:rsidRPr="004939C8">
        <w:rPr>
          <w:rFonts w:asciiTheme="majorHAnsi" w:eastAsia="Times New Roman" w:hAnsiTheme="majorHAnsi"/>
          <w:color w:val="000000"/>
        </w:rPr>
        <w:t>spending plan for the scholarship</w:t>
      </w:r>
    </w:p>
    <w:p w14:paraId="5A9ABF2A" w14:textId="77777777" w:rsidR="003077B6" w:rsidRPr="00DE0D33" w:rsidRDefault="003077B6" w:rsidP="003077B6">
      <w:pPr>
        <w:numPr>
          <w:ilvl w:val="0"/>
          <w:numId w:val="1"/>
        </w:numPr>
        <w:spacing w:before="100" w:beforeAutospacing="1"/>
        <w:rPr>
          <w:rFonts w:asciiTheme="majorHAnsi" w:eastAsia="Times New Roman" w:hAnsiTheme="majorHAnsi"/>
          <w:color w:val="000000"/>
        </w:rPr>
      </w:pPr>
      <w:r w:rsidRPr="00DE0D33">
        <w:rPr>
          <w:rFonts w:asciiTheme="majorHAnsi" w:eastAsia="Times New Roman" w:hAnsiTheme="majorHAnsi"/>
          <w:color w:val="000000"/>
        </w:rPr>
        <w:t>list of grants and</w:t>
      </w:r>
      <w:r>
        <w:rPr>
          <w:rFonts w:asciiTheme="majorHAnsi" w:eastAsia="Times New Roman" w:hAnsiTheme="majorHAnsi"/>
          <w:color w:val="000000"/>
        </w:rPr>
        <w:t xml:space="preserve"> / or</w:t>
      </w:r>
      <w:r w:rsidRPr="00DE0D33">
        <w:rPr>
          <w:rFonts w:asciiTheme="majorHAnsi" w:eastAsia="Times New Roman" w:hAnsiTheme="majorHAnsi"/>
          <w:color w:val="000000"/>
        </w:rPr>
        <w:t xml:space="preserve"> scholarships won over the past three years</w:t>
      </w:r>
      <w:commentRangeEnd w:id="0"/>
      <w:r>
        <w:rPr>
          <w:rStyle w:val="Jegyzethivatkozs"/>
        </w:rPr>
        <w:commentReference w:id="0"/>
      </w:r>
    </w:p>
    <w:p w14:paraId="7DA4998D" w14:textId="77777777" w:rsidR="003077B6" w:rsidRPr="004939C8" w:rsidRDefault="003077B6" w:rsidP="003077B6">
      <w:pPr>
        <w:spacing w:before="100" w:beforeAutospacing="1"/>
        <w:jc w:val="both"/>
        <w:rPr>
          <w:rFonts w:asciiTheme="majorHAnsi" w:hAnsiTheme="majorHAnsi"/>
        </w:rPr>
      </w:pPr>
      <w:r w:rsidRPr="004939C8">
        <w:rPr>
          <w:rFonts w:asciiTheme="majorHAnsi" w:hAnsiTheme="majorHAnsi"/>
          <w:color w:val="000000"/>
        </w:rPr>
        <w:t> </w:t>
      </w:r>
    </w:p>
    <w:p w14:paraId="2EA3BA9F" w14:textId="77777777" w:rsidR="003077B6" w:rsidRDefault="003077B6" w:rsidP="003077B6">
      <w:pPr>
        <w:spacing w:before="100" w:beforeAutospacing="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Only the Academy and selected Jury Members</w:t>
      </w:r>
      <w:r w:rsidRPr="0084143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of the Friends of t</w:t>
      </w:r>
      <w:r w:rsidRPr="0084143E">
        <w:rPr>
          <w:rFonts w:asciiTheme="majorHAnsi" w:hAnsiTheme="majorHAnsi"/>
        </w:rPr>
        <w:t>he Liszt Academy</w:t>
      </w:r>
      <w:r>
        <w:rPr>
          <w:rFonts w:asciiTheme="majorHAnsi" w:hAnsiTheme="majorHAnsi"/>
        </w:rPr>
        <w:t xml:space="preserve"> of Music can access applications. T</w:t>
      </w:r>
      <w:r w:rsidRPr="0084143E">
        <w:rPr>
          <w:rFonts w:asciiTheme="majorHAnsi" w:hAnsiTheme="majorHAnsi"/>
        </w:rPr>
        <w:t xml:space="preserve">he Bank of China </w:t>
      </w:r>
      <w:r>
        <w:rPr>
          <w:rFonts w:asciiTheme="majorHAnsi" w:hAnsiTheme="majorHAnsi"/>
        </w:rPr>
        <w:t xml:space="preserve">can only access the list of scholarship candidates’ names shared by the </w:t>
      </w:r>
      <w:proofErr w:type="gramStart"/>
      <w:r>
        <w:rPr>
          <w:rFonts w:asciiTheme="majorHAnsi" w:hAnsiTheme="majorHAnsi"/>
        </w:rPr>
        <w:t>aforementioned Jury</w:t>
      </w:r>
      <w:proofErr w:type="gramEnd"/>
      <w:r>
        <w:rPr>
          <w:rFonts w:asciiTheme="majorHAnsi" w:hAnsiTheme="majorHAnsi"/>
        </w:rPr>
        <w:t xml:space="preserve">. </w:t>
      </w:r>
    </w:p>
    <w:p w14:paraId="5A3B3E1A" w14:textId="77777777" w:rsidR="003077B6" w:rsidRDefault="003077B6" w:rsidP="003077B6">
      <w:pPr>
        <w:spacing w:before="100" w:beforeAutospacing="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Hereby, the Academy informs all applicants that the name and main subject of scholarship winners will be shared on the Academy’s website. </w:t>
      </w:r>
    </w:p>
    <w:p w14:paraId="2DCA4B35" w14:textId="77777777" w:rsidR="003077B6" w:rsidRPr="004939C8" w:rsidRDefault="003077B6" w:rsidP="003077B6">
      <w:pPr>
        <w:spacing w:before="100" w:beforeAutospacing="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addition, scholarship winners </w:t>
      </w:r>
      <w:proofErr w:type="gramStart"/>
      <w:r>
        <w:rPr>
          <w:rFonts w:asciiTheme="majorHAnsi" w:hAnsiTheme="majorHAnsi"/>
        </w:rPr>
        <w:t>have to</w:t>
      </w:r>
      <w:proofErr w:type="gramEnd"/>
      <w:r>
        <w:rPr>
          <w:rFonts w:asciiTheme="majorHAnsi" w:hAnsiTheme="majorHAnsi"/>
        </w:rPr>
        <w:t xml:space="preserve"> share the below information:</w:t>
      </w:r>
    </w:p>
    <w:p w14:paraId="44B3E8FA" w14:textId="77777777" w:rsidR="003077B6" w:rsidRPr="00E122DD" w:rsidRDefault="003077B6" w:rsidP="003077B6">
      <w:pPr>
        <w:pStyle w:val="Listaszerbekezds"/>
        <w:numPr>
          <w:ilvl w:val="0"/>
          <w:numId w:val="2"/>
        </w:numPr>
        <w:spacing w:before="100" w:beforeAutospacing="1"/>
        <w:jc w:val="both"/>
        <w:rPr>
          <w:rFonts w:asciiTheme="majorHAnsi" w:hAnsiTheme="majorHAnsi"/>
        </w:rPr>
      </w:pPr>
      <w:r w:rsidRPr="002B62A6">
        <w:rPr>
          <w:rFonts w:asciiTheme="majorHAnsi" w:hAnsiTheme="majorHAnsi"/>
          <w:color w:val="000000"/>
        </w:rPr>
        <w:t>*</w:t>
      </w:r>
      <w:proofErr w:type="gramStart"/>
      <w:r>
        <w:rPr>
          <w:rFonts w:asciiTheme="majorHAnsi" w:hAnsiTheme="majorHAnsi"/>
          <w:color w:val="000000"/>
        </w:rPr>
        <w:t>n</w:t>
      </w:r>
      <w:r w:rsidRPr="002B62A6">
        <w:rPr>
          <w:rFonts w:asciiTheme="majorHAnsi" w:hAnsiTheme="majorHAnsi"/>
          <w:color w:val="000000"/>
        </w:rPr>
        <w:t>ame</w:t>
      </w:r>
      <w:proofErr w:type="gramEnd"/>
      <w:r w:rsidRPr="002B62A6">
        <w:rPr>
          <w:rFonts w:asciiTheme="majorHAnsi" w:hAnsiTheme="majorHAnsi"/>
          <w:color w:val="000000"/>
        </w:rPr>
        <w:t xml:space="preserve"> of </w:t>
      </w:r>
      <w:r>
        <w:rPr>
          <w:rFonts w:asciiTheme="majorHAnsi" w:hAnsiTheme="majorHAnsi"/>
          <w:color w:val="000000"/>
        </w:rPr>
        <w:t>s</w:t>
      </w:r>
      <w:r w:rsidRPr="002B62A6">
        <w:rPr>
          <w:rFonts w:asciiTheme="majorHAnsi" w:hAnsiTheme="majorHAnsi"/>
          <w:color w:val="000000"/>
        </w:rPr>
        <w:t xml:space="preserve">cholarship </w:t>
      </w:r>
      <w:r>
        <w:rPr>
          <w:rFonts w:asciiTheme="majorHAnsi" w:hAnsiTheme="majorHAnsi"/>
          <w:color w:val="000000"/>
        </w:rPr>
        <w:t>winner’s</w:t>
      </w:r>
      <w:r w:rsidRPr="002B62A6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b</w:t>
      </w:r>
      <w:r w:rsidRPr="002B62A6">
        <w:rPr>
          <w:rFonts w:asciiTheme="majorHAnsi" w:hAnsiTheme="majorHAnsi"/>
          <w:color w:val="000000"/>
        </w:rPr>
        <w:t>ank</w:t>
      </w:r>
      <w:r>
        <w:rPr>
          <w:rFonts w:asciiTheme="majorHAnsi" w:hAnsiTheme="majorHAnsi"/>
          <w:color w:val="000000"/>
        </w:rPr>
        <w:t>;</w:t>
      </w:r>
    </w:p>
    <w:p w14:paraId="44FD858D" w14:textId="77777777" w:rsidR="003077B6" w:rsidRPr="002B62A6" w:rsidRDefault="003077B6" w:rsidP="003077B6">
      <w:pPr>
        <w:pStyle w:val="Listaszerbekezds"/>
        <w:numPr>
          <w:ilvl w:val="0"/>
          <w:numId w:val="2"/>
        </w:numPr>
        <w:spacing w:before="100" w:beforeAutospacing="1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*</w:t>
      </w:r>
      <w:proofErr w:type="gramStart"/>
      <w:r>
        <w:rPr>
          <w:rFonts w:asciiTheme="majorHAnsi" w:hAnsiTheme="majorHAnsi"/>
          <w:color w:val="000000"/>
        </w:rPr>
        <w:t>bank</w:t>
      </w:r>
      <w:proofErr w:type="gramEnd"/>
      <w:r>
        <w:rPr>
          <w:rFonts w:asciiTheme="majorHAnsi" w:hAnsiTheme="majorHAnsi"/>
          <w:color w:val="000000"/>
        </w:rPr>
        <w:t xml:space="preserve"> account number;</w:t>
      </w:r>
    </w:p>
    <w:p w14:paraId="4CF95E0B" w14:textId="77777777" w:rsidR="003077B6" w:rsidRPr="002B62A6" w:rsidRDefault="003077B6" w:rsidP="003077B6">
      <w:pPr>
        <w:pStyle w:val="Listaszerbekezds"/>
        <w:numPr>
          <w:ilvl w:val="0"/>
          <w:numId w:val="2"/>
        </w:numPr>
        <w:spacing w:before="100" w:beforeAutospacing="1" w:line="330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*</w:t>
      </w:r>
      <w:proofErr w:type="gramStart"/>
      <w:r>
        <w:rPr>
          <w:rFonts w:asciiTheme="majorHAnsi" w:hAnsiTheme="majorHAnsi"/>
          <w:color w:val="000000"/>
        </w:rPr>
        <w:t>IBAN;</w:t>
      </w:r>
      <w:proofErr w:type="gramEnd"/>
    </w:p>
    <w:p w14:paraId="1599B473" w14:textId="77777777" w:rsidR="003077B6" w:rsidRPr="002B62A6" w:rsidRDefault="003077B6" w:rsidP="003077B6">
      <w:pPr>
        <w:pStyle w:val="Listaszerbekezds"/>
        <w:numPr>
          <w:ilvl w:val="0"/>
          <w:numId w:val="2"/>
        </w:numPr>
        <w:spacing w:before="100" w:beforeAutospacing="1" w:line="330" w:lineRule="atLeast"/>
        <w:jc w:val="both"/>
        <w:rPr>
          <w:rFonts w:asciiTheme="majorHAnsi" w:hAnsiTheme="majorHAnsi"/>
        </w:rPr>
      </w:pPr>
      <w:r w:rsidRPr="002B62A6">
        <w:rPr>
          <w:rFonts w:asciiTheme="majorHAnsi" w:hAnsiTheme="majorHAnsi"/>
          <w:color w:val="000000"/>
        </w:rPr>
        <w:t>*SWIFT/BIC*</w:t>
      </w:r>
    </w:p>
    <w:p w14:paraId="44AC5B32" w14:textId="77777777" w:rsidR="003077B6" w:rsidRDefault="003077B6" w:rsidP="003077B6">
      <w:pPr>
        <w:spacing w:before="100" w:beforeAutospacing="1" w:line="330" w:lineRule="atLeast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Staff Members of the Academy’s Finance Department responsible for payments can access scholarship transfer details. </w:t>
      </w:r>
    </w:p>
    <w:p w14:paraId="23336894" w14:textId="77777777" w:rsidR="003077B6" w:rsidRPr="004939C8" w:rsidRDefault="003077B6" w:rsidP="003077B6">
      <w:pPr>
        <w:spacing w:before="100" w:beforeAutospacing="1" w:line="330" w:lineRule="atLeast"/>
        <w:jc w:val="both"/>
        <w:rPr>
          <w:rFonts w:asciiTheme="majorHAnsi" w:hAnsiTheme="majorHAnsi"/>
          <w:color w:val="000000"/>
        </w:rPr>
      </w:pPr>
      <w:r w:rsidRPr="004939C8">
        <w:rPr>
          <w:rFonts w:asciiTheme="majorHAnsi" w:hAnsiTheme="majorHAnsi"/>
          <w:color w:val="000000"/>
        </w:rPr>
        <w:t>Application packages and written reports about the use of the scholarship are deleted by the Academy 15 days after the end of academic year 202</w:t>
      </w:r>
      <w:r>
        <w:rPr>
          <w:rFonts w:asciiTheme="majorHAnsi" w:hAnsiTheme="majorHAnsi"/>
          <w:color w:val="000000"/>
        </w:rPr>
        <w:t>4</w:t>
      </w:r>
      <w:r w:rsidRPr="004939C8">
        <w:rPr>
          <w:rFonts w:asciiTheme="majorHAnsi" w:hAnsiTheme="majorHAnsi"/>
          <w:color w:val="000000"/>
        </w:rPr>
        <w:t>/202</w:t>
      </w:r>
      <w:r>
        <w:rPr>
          <w:rFonts w:asciiTheme="majorHAnsi" w:hAnsiTheme="majorHAnsi"/>
          <w:color w:val="000000"/>
        </w:rPr>
        <w:t>5</w:t>
      </w:r>
      <w:r w:rsidRPr="004939C8">
        <w:rPr>
          <w:rFonts w:asciiTheme="majorHAnsi" w:hAnsiTheme="majorHAnsi"/>
          <w:color w:val="000000"/>
        </w:rPr>
        <w:t>.</w:t>
      </w:r>
    </w:p>
    <w:p w14:paraId="063FC053" w14:textId="77777777" w:rsidR="003077B6" w:rsidRPr="004939C8" w:rsidRDefault="003077B6" w:rsidP="003077B6">
      <w:pPr>
        <w:spacing w:before="100" w:beforeAutospacing="1"/>
        <w:rPr>
          <w:rFonts w:asciiTheme="majorHAnsi" w:hAnsiTheme="majorHAnsi"/>
          <w:lang w:val="en-US"/>
        </w:rPr>
      </w:pPr>
      <w:r w:rsidRPr="004939C8">
        <w:rPr>
          <w:rFonts w:asciiTheme="majorHAnsi" w:hAnsiTheme="majorHAnsi"/>
          <w:lang w:val="en-US"/>
        </w:rPr>
        <w:t>If you have any further questions</w:t>
      </w:r>
      <w:r>
        <w:rPr>
          <w:rFonts w:asciiTheme="majorHAnsi" w:hAnsiTheme="majorHAnsi"/>
          <w:lang w:val="en-US"/>
        </w:rPr>
        <w:t xml:space="preserve"> related to data</w:t>
      </w:r>
      <w:r w:rsidRPr="004939C8">
        <w:rPr>
          <w:rFonts w:asciiTheme="majorHAnsi" w:hAnsiTheme="majorHAnsi"/>
          <w:lang w:val="en-US"/>
        </w:rPr>
        <w:t xml:space="preserve"> processing, feel free to contact the Academy’s Data Protection Officer, dr. </w:t>
      </w:r>
      <w:r>
        <w:rPr>
          <w:rFonts w:asciiTheme="majorHAnsi" w:hAnsiTheme="majorHAnsi"/>
          <w:lang w:val="en-US"/>
        </w:rPr>
        <w:t>Laura Gálfi</w:t>
      </w:r>
      <w:r w:rsidRPr="004939C8">
        <w:rPr>
          <w:rFonts w:asciiTheme="majorHAnsi" w:hAnsiTheme="majorHAnsi"/>
          <w:lang w:val="en-US"/>
        </w:rPr>
        <w:t xml:space="preserve"> at </w:t>
      </w:r>
      <w:hyperlink r:id="rId9" w:history="1">
        <w:r w:rsidRPr="004939C8">
          <w:rPr>
            <w:rStyle w:val="Hiperhivatkozs"/>
            <w:lang w:val="en-US"/>
          </w:rPr>
          <w:t>adatkezeles@zeneakademia.hu</w:t>
        </w:r>
      </w:hyperlink>
      <w:r w:rsidRPr="004939C8">
        <w:rPr>
          <w:rFonts w:asciiTheme="majorHAnsi" w:hAnsiTheme="majorHAnsi"/>
          <w:lang w:val="en-US"/>
        </w:rPr>
        <w:t xml:space="preserve">. </w:t>
      </w:r>
    </w:p>
    <w:p w14:paraId="0BC0D34D" w14:textId="77777777" w:rsidR="00CD3B2A" w:rsidRDefault="00CD3B2A"/>
    <w:sectPr w:rsidR="00CD3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r. Gálfi Laura Nóra" w:date="2025-01-21T12:18:00Z" w:initials="dL">
    <w:p w14:paraId="56C1D95D" w14:textId="77777777" w:rsidR="003077B6" w:rsidRDefault="003077B6" w:rsidP="003077B6">
      <w:pPr>
        <w:pStyle w:val="Jegyzetszveg"/>
      </w:pPr>
      <w:r>
        <w:rPr>
          <w:rStyle w:val="Jegyzethivatkozs"/>
        </w:rPr>
        <w:annotationRef/>
      </w:r>
      <w:r>
        <w:t>Ezt 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6C1D95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6CDFF0A" w16cex:dateUtc="2025-01-21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6C1D95D" w16cid:durableId="46CDFF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343E7"/>
    <w:multiLevelType w:val="hybridMultilevel"/>
    <w:tmpl w:val="8962F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547EC"/>
    <w:multiLevelType w:val="multilevel"/>
    <w:tmpl w:val="2E8E8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7404502">
    <w:abstractNumId w:val="1"/>
  </w:num>
  <w:num w:numId="2" w16cid:durableId="171088309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r. Gálfi Laura Nóra">
    <w15:presenceInfo w15:providerId="AD" w15:userId="S::galfi.laura@zeneakademia.hu::7c0bb2b2-37b2-41e5-a814-a899575f0f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B6"/>
    <w:rsid w:val="003077B6"/>
    <w:rsid w:val="004F7730"/>
    <w:rsid w:val="005A27DC"/>
    <w:rsid w:val="00C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F652"/>
  <w15:chartTrackingRefBased/>
  <w15:docId w15:val="{48BDFE60-C53B-469A-8C36-2CE1CC6B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77B6"/>
    <w:pPr>
      <w:spacing w:after="0" w:line="240" w:lineRule="auto"/>
    </w:pPr>
    <w:rPr>
      <w:rFonts w:ascii="Times New Roman" w:hAnsi="Times New Roman" w:cs="Times New Roman"/>
      <w:kern w:val="0"/>
      <w:lang w:val="en-GB" w:eastAsia="en-GB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07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07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077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07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077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077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077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077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077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07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07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07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077B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077B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077B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077B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077B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077B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077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07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07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07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07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077B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077B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077B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07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077B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077B6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3077B6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3077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077B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077B6"/>
    <w:rPr>
      <w:rFonts w:ascii="Times New Roman" w:hAnsi="Times New Roman" w:cs="Times New Roman"/>
      <w:kern w:val="0"/>
      <w:sz w:val="20"/>
      <w:szCs w:val="2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atkezeles@zeneakademi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Kálmándy Zita</dc:creator>
  <cp:keywords/>
  <dc:description/>
  <cp:lastModifiedBy>Kálmándy Zita</cp:lastModifiedBy>
  <cp:revision>1</cp:revision>
  <dcterms:created xsi:type="dcterms:W3CDTF">2025-02-05T15:38:00Z</dcterms:created>
  <dcterms:modified xsi:type="dcterms:W3CDTF">2025-02-05T15:38:00Z</dcterms:modified>
</cp:coreProperties>
</file>